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471" w:rsidRDefault="00EF1471" w:rsidP="00210842">
      <w:pPr>
        <w:jc w:val="center"/>
        <w:rPr>
          <w:rFonts w:ascii="Times New Roman" w:hAnsi="Times New Roman" w:cs="Times New Roman"/>
          <w:b/>
          <w:sz w:val="28"/>
          <w:szCs w:val="23"/>
        </w:rPr>
      </w:pPr>
      <w:bookmarkStart w:id="0" w:name="_GoBack"/>
      <w:bookmarkEnd w:id="0"/>
    </w:p>
    <w:p w:rsidR="00EF1471" w:rsidRPr="0044012F" w:rsidRDefault="00EF1471" w:rsidP="00210842">
      <w:pPr>
        <w:jc w:val="center"/>
        <w:rPr>
          <w:rFonts w:ascii="Times New Roman" w:hAnsi="Times New Roman" w:cs="Times New Roman"/>
          <w:b/>
          <w:sz w:val="28"/>
          <w:szCs w:val="28"/>
        </w:rPr>
      </w:pPr>
      <w:r w:rsidRPr="0044012F">
        <w:rPr>
          <w:rFonts w:ascii="Times New Roman" w:hAnsi="Times New Roman" w:cs="Times New Roman"/>
          <w:b/>
          <w:sz w:val="28"/>
          <w:szCs w:val="28"/>
        </w:rPr>
        <w:t xml:space="preserve">Advance Medicare Relief and Reform for Ambulance </w:t>
      </w:r>
      <w:r w:rsidR="005457FC">
        <w:rPr>
          <w:rFonts w:ascii="Times New Roman" w:hAnsi="Times New Roman" w:cs="Times New Roman"/>
          <w:b/>
          <w:sz w:val="28"/>
          <w:szCs w:val="28"/>
        </w:rPr>
        <w:t>Services</w:t>
      </w:r>
      <w:r w:rsidR="005457FC" w:rsidRPr="0044012F">
        <w:rPr>
          <w:rFonts w:ascii="Times New Roman" w:hAnsi="Times New Roman" w:cs="Times New Roman"/>
          <w:b/>
          <w:sz w:val="28"/>
          <w:szCs w:val="28"/>
        </w:rPr>
        <w:t xml:space="preserve"> </w:t>
      </w:r>
    </w:p>
    <w:p w:rsidR="00EF1471" w:rsidRPr="00DA3D7D" w:rsidRDefault="00DA3D7D" w:rsidP="00210842">
      <w:pPr>
        <w:jc w:val="center"/>
        <w:rPr>
          <w:rFonts w:ascii="Times New Roman" w:hAnsi="Times New Roman" w:cs="Times New Roman"/>
          <w:b/>
          <w:sz w:val="28"/>
          <w:szCs w:val="23"/>
          <w:u w:val="single"/>
        </w:rPr>
      </w:pPr>
      <w:r>
        <w:rPr>
          <w:rFonts w:ascii="Times New Roman" w:hAnsi="Times New Roman" w:cs="Times New Roman"/>
          <w:b/>
          <w:sz w:val="28"/>
          <w:szCs w:val="23"/>
          <w:u w:val="single"/>
        </w:rPr>
        <w:t>As This Session Comes to a C</w:t>
      </w:r>
      <w:r w:rsidR="00EF1471" w:rsidRPr="00DA3D7D">
        <w:rPr>
          <w:rFonts w:ascii="Times New Roman" w:hAnsi="Times New Roman" w:cs="Times New Roman"/>
          <w:b/>
          <w:sz w:val="28"/>
          <w:szCs w:val="23"/>
          <w:u w:val="single"/>
        </w:rPr>
        <w:t xml:space="preserve">lose, Congress </w:t>
      </w:r>
      <w:r>
        <w:rPr>
          <w:rFonts w:ascii="Times New Roman" w:hAnsi="Times New Roman" w:cs="Times New Roman"/>
          <w:b/>
          <w:sz w:val="28"/>
          <w:szCs w:val="23"/>
          <w:u w:val="single"/>
        </w:rPr>
        <w:t>S</w:t>
      </w:r>
      <w:r w:rsidR="00EF1471" w:rsidRPr="00DA3D7D">
        <w:rPr>
          <w:rFonts w:ascii="Times New Roman" w:hAnsi="Times New Roman" w:cs="Times New Roman"/>
          <w:b/>
          <w:sz w:val="28"/>
          <w:szCs w:val="23"/>
          <w:u w:val="single"/>
        </w:rPr>
        <w:t xml:space="preserve">hould </w:t>
      </w:r>
      <w:r>
        <w:rPr>
          <w:rFonts w:ascii="Times New Roman" w:hAnsi="Times New Roman" w:cs="Times New Roman"/>
          <w:b/>
          <w:sz w:val="28"/>
          <w:szCs w:val="23"/>
          <w:u w:val="single"/>
        </w:rPr>
        <w:t>Pass the Noncontroversial Provisions to I</w:t>
      </w:r>
      <w:r w:rsidR="00EF1471" w:rsidRPr="00DA3D7D">
        <w:rPr>
          <w:rFonts w:ascii="Times New Roman" w:hAnsi="Times New Roman" w:cs="Times New Roman"/>
          <w:b/>
          <w:sz w:val="28"/>
          <w:szCs w:val="23"/>
          <w:u w:val="single"/>
        </w:rPr>
        <w:t xml:space="preserve">mprove </w:t>
      </w:r>
      <w:r>
        <w:rPr>
          <w:rFonts w:ascii="Times New Roman" w:hAnsi="Times New Roman" w:cs="Times New Roman"/>
          <w:b/>
          <w:sz w:val="28"/>
          <w:szCs w:val="23"/>
          <w:u w:val="single"/>
        </w:rPr>
        <w:t>C</w:t>
      </w:r>
      <w:r w:rsidR="00EF1471" w:rsidRPr="00DA3D7D">
        <w:rPr>
          <w:rFonts w:ascii="Times New Roman" w:hAnsi="Times New Roman" w:cs="Times New Roman"/>
          <w:b/>
          <w:sz w:val="28"/>
          <w:szCs w:val="23"/>
          <w:u w:val="single"/>
        </w:rPr>
        <w:t xml:space="preserve">ost </w:t>
      </w:r>
      <w:r>
        <w:rPr>
          <w:rFonts w:ascii="Times New Roman" w:hAnsi="Times New Roman" w:cs="Times New Roman"/>
          <w:b/>
          <w:sz w:val="28"/>
          <w:szCs w:val="23"/>
          <w:u w:val="single"/>
        </w:rPr>
        <w:t>Data C</w:t>
      </w:r>
      <w:r w:rsidR="00EF1471" w:rsidRPr="00DA3D7D">
        <w:rPr>
          <w:rFonts w:ascii="Times New Roman" w:hAnsi="Times New Roman" w:cs="Times New Roman"/>
          <w:b/>
          <w:sz w:val="28"/>
          <w:szCs w:val="23"/>
          <w:u w:val="single"/>
        </w:rPr>
        <w:t>ollection</w:t>
      </w:r>
      <w:r>
        <w:rPr>
          <w:rFonts w:ascii="Times New Roman" w:hAnsi="Times New Roman" w:cs="Times New Roman"/>
          <w:b/>
          <w:sz w:val="28"/>
          <w:szCs w:val="23"/>
          <w:u w:val="single"/>
        </w:rPr>
        <w:t xml:space="preserve"> and Provider Status C</w:t>
      </w:r>
      <w:r w:rsidR="00EF1471" w:rsidRPr="00DA3D7D">
        <w:rPr>
          <w:rFonts w:ascii="Times New Roman" w:hAnsi="Times New Roman" w:cs="Times New Roman"/>
          <w:b/>
          <w:sz w:val="28"/>
          <w:szCs w:val="23"/>
          <w:u w:val="single"/>
        </w:rPr>
        <w:t>ontained in S. 377/H.R. 745</w:t>
      </w:r>
    </w:p>
    <w:p w:rsidR="00210842" w:rsidRDefault="00210842">
      <w:pPr>
        <w:rPr>
          <w:rFonts w:ascii="Times New Roman" w:hAnsi="Times New Roman" w:cs="Times New Roman"/>
          <w:sz w:val="23"/>
          <w:szCs w:val="23"/>
        </w:rPr>
      </w:pPr>
    </w:p>
    <w:p w:rsidR="00026880" w:rsidRPr="00652412" w:rsidRDefault="00026880">
      <w:pPr>
        <w:rPr>
          <w:rFonts w:ascii="Times New Roman" w:eastAsia="MS Mincho" w:hAnsi="Times New Roman" w:cs="Times New Roman"/>
          <w:sz w:val="22"/>
          <w:szCs w:val="23"/>
          <w:lang w:eastAsia="ja-JP"/>
        </w:rPr>
      </w:pPr>
      <w:r w:rsidRPr="00652412">
        <w:rPr>
          <w:rFonts w:ascii="Times New Roman" w:hAnsi="Times New Roman" w:cs="Times New Roman"/>
          <w:sz w:val="22"/>
          <w:szCs w:val="23"/>
        </w:rPr>
        <w:t>Ambulance service</w:t>
      </w:r>
      <w:r w:rsidR="008B2A89">
        <w:rPr>
          <w:rFonts w:ascii="Times New Roman" w:hAnsi="Times New Roman" w:cs="Times New Roman"/>
          <w:sz w:val="22"/>
          <w:szCs w:val="23"/>
        </w:rPr>
        <w:t>s</w:t>
      </w:r>
      <w:r w:rsidRPr="00652412">
        <w:rPr>
          <w:rFonts w:ascii="Times New Roman" w:hAnsi="Times New Roman" w:cs="Times New Roman"/>
          <w:sz w:val="22"/>
          <w:szCs w:val="23"/>
        </w:rPr>
        <w:t xml:space="preserve"> are a critical component of our local and national health care and emergency response systems.  They are also overwhelmingly small businesses, which provide jobs and investments in local communities.  </w:t>
      </w:r>
      <w:r w:rsidRPr="00652412">
        <w:rPr>
          <w:rFonts w:ascii="Times New Roman" w:eastAsia="MS Mincho" w:hAnsi="Times New Roman" w:cs="Times New Roman"/>
          <w:sz w:val="22"/>
          <w:szCs w:val="23"/>
          <w:lang w:eastAsia="ja-JP"/>
        </w:rPr>
        <w:t xml:space="preserve">The federal government and local jurisdictions are looking for ways to utilize their unique health care qualifications and skills to drive and support health care system delivery innovation.  Yet, three things stand in the way of the critical reform:  </w:t>
      </w:r>
      <w:r w:rsidR="00594AE6">
        <w:rPr>
          <w:rFonts w:ascii="Times New Roman" w:eastAsia="MS Mincho" w:hAnsi="Times New Roman" w:cs="Times New Roman"/>
          <w:sz w:val="22"/>
          <w:szCs w:val="23"/>
          <w:lang w:eastAsia="ja-JP"/>
        </w:rPr>
        <w:t xml:space="preserve">                </w:t>
      </w:r>
      <w:r w:rsidRPr="00652412">
        <w:rPr>
          <w:rFonts w:ascii="Times New Roman" w:eastAsia="MS Mincho" w:hAnsi="Times New Roman" w:cs="Times New Roman"/>
          <w:sz w:val="22"/>
          <w:szCs w:val="23"/>
          <w:lang w:eastAsia="ja-JP"/>
        </w:rPr>
        <w:t>(1) economic instability; (2) lack of accurate and reliable cost and revenue data; and (3) failure to recognize ambulance services as providers of health care.</w:t>
      </w:r>
    </w:p>
    <w:p w:rsidR="00026880" w:rsidRPr="00652412" w:rsidRDefault="00026880">
      <w:pPr>
        <w:rPr>
          <w:rFonts w:ascii="Times New Roman" w:eastAsia="MS Mincho" w:hAnsi="Times New Roman" w:cs="Times New Roman"/>
          <w:sz w:val="22"/>
          <w:szCs w:val="23"/>
          <w:lang w:eastAsia="ja-JP"/>
        </w:rPr>
      </w:pPr>
    </w:p>
    <w:p w:rsidR="00026880" w:rsidRPr="00652412" w:rsidRDefault="00026880" w:rsidP="00026880">
      <w:pPr>
        <w:rPr>
          <w:rFonts w:ascii="Times New Roman" w:hAnsi="Times New Roman" w:cs="Times New Roman"/>
          <w:b/>
          <w:bCs/>
          <w:sz w:val="22"/>
          <w:szCs w:val="23"/>
        </w:rPr>
      </w:pPr>
      <w:r w:rsidRPr="00652412">
        <w:rPr>
          <w:rFonts w:ascii="Times New Roman" w:hAnsi="Times New Roman" w:cs="Times New Roman"/>
          <w:b/>
          <w:bCs/>
          <w:sz w:val="22"/>
          <w:szCs w:val="23"/>
        </w:rPr>
        <w:t xml:space="preserve">The </w:t>
      </w:r>
      <w:r w:rsidRPr="00652412">
        <w:rPr>
          <w:rFonts w:ascii="Times New Roman" w:hAnsi="Times New Roman" w:cs="Times New Roman"/>
          <w:b/>
          <w:bCs/>
          <w:i/>
          <w:sz w:val="22"/>
          <w:szCs w:val="23"/>
        </w:rPr>
        <w:t>Medicare Ambulance Access, Fraud Prevention and Reform Act</w:t>
      </w:r>
      <w:r w:rsidRPr="00652412">
        <w:rPr>
          <w:rFonts w:ascii="Times New Roman" w:hAnsi="Times New Roman" w:cs="Times New Roman"/>
          <w:b/>
          <w:bCs/>
          <w:sz w:val="22"/>
          <w:szCs w:val="23"/>
        </w:rPr>
        <w:t xml:space="preserve"> (S. 377, H.R. 745) </w:t>
      </w:r>
      <w:r w:rsidR="008B2A89">
        <w:rPr>
          <w:rFonts w:ascii="Times New Roman" w:hAnsi="Times New Roman" w:cs="Times New Roman"/>
          <w:b/>
          <w:bCs/>
          <w:sz w:val="22"/>
          <w:szCs w:val="23"/>
        </w:rPr>
        <w:t xml:space="preserve">introduced </w:t>
      </w:r>
      <w:r w:rsidRPr="00652412">
        <w:rPr>
          <w:rFonts w:ascii="Times New Roman" w:hAnsi="Times New Roman" w:cs="Times New Roman"/>
          <w:b/>
          <w:bCs/>
          <w:sz w:val="22"/>
          <w:szCs w:val="23"/>
        </w:rPr>
        <w:t xml:space="preserve">by Senators Schumer (D-NY), Roberts (R-KS), Leahy (D-VT), and Collins </w:t>
      </w:r>
      <w:r w:rsidR="00594AE6">
        <w:rPr>
          <w:rFonts w:ascii="Times New Roman" w:hAnsi="Times New Roman" w:cs="Times New Roman"/>
          <w:b/>
          <w:bCs/>
          <w:sz w:val="22"/>
          <w:szCs w:val="23"/>
        </w:rPr>
        <w:t xml:space="preserve">      </w:t>
      </w:r>
      <w:r w:rsidRPr="00652412">
        <w:rPr>
          <w:rFonts w:ascii="Times New Roman" w:hAnsi="Times New Roman" w:cs="Times New Roman"/>
          <w:b/>
          <w:bCs/>
          <w:sz w:val="22"/>
          <w:szCs w:val="23"/>
        </w:rPr>
        <w:t xml:space="preserve">(R-ME) in the Senate and Congressmen Walden (R-OR), Welch (D-VT), </w:t>
      </w:r>
      <w:proofErr w:type="spellStart"/>
      <w:r w:rsidRPr="00652412">
        <w:rPr>
          <w:rFonts w:ascii="Times New Roman" w:hAnsi="Times New Roman" w:cs="Times New Roman"/>
          <w:b/>
          <w:bCs/>
          <w:sz w:val="22"/>
          <w:szCs w:val="23"/>
        </w:rPr>
        <w:t>Nunes</w:t>
      </w:r>
      <w:proofErr w:type="spellEnd"/>
      <w:r w:rsidRPr="00652412">
        <w:rPr>
          <w:rFonts w:ascii="Times New Roman" w:hAnsi="Times New Roman" w:cs="Times New Roman"/>
          <w:b/>
          <w:bCs/>
          <w:sz w:val="22"/>
          <w:szCs w:val="23"/>
        </w:rPr>
        <w:t xml:space="preserve"> (R-CA) and Neal (D-MA) in the House, addresses these barriers to meaningful reform by:</w:t>
      </w:r>
    </w:p>
    <w:p w:rsidR="00026880" w:rsidRPr="00652412" w:rsidRDefault="00026880" w:rsidP="00026880">
      <w:pPr>
        <w:rPr>
          <w:rFonts w:ascii="Times New Roman" w:hAnsi="Times New Roman" w:cs="Times New Roman"/>
          <w:b/>
          <w:bCs/>
          <w:sz w:val="22"/>
          <w:szCs w:val="23"/>
        </w:rPr>
      </w:pPr>
    </w:p>
    <w:p w:rsidR="00026880" w:rsidRPr="00652412" w:rsidRDefault="00652412" w:rsidP="00026880">
      <w:pPr>
        <w:pStyle w:val="ListParagraph"/>
        <w:numPr>
          <w:ilvl w:val="0"/>
          <w:numId w:val="1"/>
        </w:numPr>
        <w:rPr>
          <w:rFonts w:ascii="Times New Roman" w:hAnsi="Times New Roman" w:cs="Times New Roman"/>
          <w:b/>
          <w:bCs/>
          <w:sz w:val="22"/>
          <w:szCs w:val="23"/>
        </w:rPr>
      </w:pPr>
      <w:r w:rsidRPr="00652412">
        <w:rPr>
          <w:rFonts w:ascii="Times New Roman" w:hAnsi="Times New Roman" w:cs="Times New Roman"/>
          <w:b/>
          <w:bCs/>
          <w:sz w:val="22"/>
          <w:szCs w:val="23"/>
        </w:rPr>
        <w:t>B</w:t>
      </w:r>
      <w:r w:rsidR="00026880" w:rsidRPr="00652412">
        <w:rPr>
          <w:rFonts w:ascii="Times New Roman" w:hAnsi="Times New Roman" w:cs="Times New Roman"/>
          <w:b/>
          <w:bCs/>
          <w:sz w:val="22"/>
          <w:szCs w:val="23"/>
        </w:rPr>
        <w:t>uilding the temporary ambulance add-ons into the base rate, consistent with findings from the GAO;</w:t>
      </w:r>
    </w:p>
    <w:p w:rsidR="00026880" w:rsidRPr="00652412" w:rsidRDefault="00652412" w:rsidP="00026880">
      <w:pPr>
        <w:pStyle w:val="ListParagraph"/>
        <w:numPr>
          <w:ilvl w:val="0"/>
          <w:numId w:val="1"/>
        </w:numPr>
        <w:rPr>
          <w:rFonts w:ascii="Times New Roman" w:hAnsi="Times New Roman" w:cs="Times New Roman"/>
          <w:b/>
          <w:bCs/>
          <w:sz w:val="22"/>
          <w:szCs w:val="23"/>
        </w:rPr>
      </w:pPr>
      <w:r w:rsidRPr="00652412">
        <w:rPr>
          <w:rFonts w:ascii="Times New Roman" w:hAnsi="Times New Roman" w:cs="Times New Roman"/>
          <w:b/>
          <w:bCs/>
          <w:sz w:val="22"/>
          <w:szCs w:val="23"/>
        </w:rPr>
        <w:t>E</w:t>
      </w:r>
      <w:r w:rsidR="00026880" w:rsidRPr="00652412">
        <w:rPr>
          <w:rFonts w:ascii="Times New Roman" w:hAnsi="Times New Roman" w:cs="Times New Roman"/>
          <w:b/>
          <w:bCs/>
          <w:sz w:val="22"/>
          <w:szCs w:val="23"/>
        </w:rPr>
        <w:t>stablishing a cost data collection system, tailored to the unique nature of ambulance services, consistent with the report issued by CMS under the American Taxpayer Relief Act (ATRA); and</w:t>
      </w:r>
    </w:p>
    <w:p w:rsidR="00026880" w:rsidRPr="00652412" w:rsidRDefault="00652412" w:rsidP="00026880">
      <w:pPr>
        <w:pStyle w:val="ListParagraph"/>
        <w:numPr>
          <w:ilvl w:val="0"/>
          <w:numId w:val="1"/>
        </w:numPr>
        <w:rPr>
          <w:rFonts w:ascii="Times New Roman" w:hAnsi="Times New Roman" w:cs="Times New Roman"/>
          <w:b/>
          <w:bCs/>
          <w:sz w:val="22"/>
          <w:szCs w:val="23"/>
        </w:rPr>
      </w:pPr>
      <w:r w:rsidRPr="00652412">
        <w:rPr>
          <w:rFonts w:ascii="Times New Roman" w:hAnsi="Times New Roman" w:cs="Times New Roman"/>
          <w:b/>
          <w:bCs/>
          <w:sz w:val="22"/>
          <w:szCs w:val="23"/>
        </w:rPr>
        <w:t>D</w:t>
      </w:r>
      <w:r w:rsidR="00026880" w:rsidRPr="00652412">
        <w:rPr>
          <w:rFonts w:ascii="Times New Roman" w:hAnsi="Times New Roman" w:cs="Times New Roman"/>
          <w:b/>
          <w:bCs/>
          <w:sz w:val="22"/>
          <w:szCs w:val="23"/>
        </w:rPr>
        <w:t>esignating ambulance services as providers of service, so that the health care services they deliver</w:t>
      </w:r>
      <w:r w:rsidR="008B2A89">
        <w:rPr>
          <w:rFonts w:ascii="Times New Roman" w:hAnsi="Times New Roman" w:cs="Times New Roman"/>
          <w:b/>
          <w:bCs/>
          <w:sz w:val="22"/>
          <w:szCs w:val="23"/>
        </w:rPr>
        <w:t>,</w:t>
      </w:r>
      <w:r w:rsidR="00026880" w:rsidRPr="00652412">
        <w:rPr>
          <w:rFonts w:ascii="Times New Roman" w:hAnsi="Times New Roman" w:cs="Times New Roman"/>
          <w:b/>
          <w:bCs/>
          <w:sz w:val="22"/>
          <w:szCs w:val="23"/>
        </w:rPr>
        <w:t xml:space="preserve"> as outlined in</w:t>
      </w:r>
      <w:r w:rsidRPr="00652412">
        <w:rPr>
          <w:rFonts w:ascii="Times New Roman" w:hAnsi="Times New Roman" w:cs="Times New Roman"/>
          <w:b/>
          <w:bCs/>
          <w:sz w:val="22"/>
          <w:szCs w:val="23"/>
        </w:rPr>
        <w:t xml:space="preserve"> a</w:t>
      </w:r>
      <w:r w:rsidR="00026880" w:rsidRPr="00652412">
        <w:rPr>
          <w:rFonts w:ascii="Times New Roman" w:hAnsi="Times New Roman" w:cs="Times New Roman"/>
          <w:b/>
          <w:bCs/>
          <w:sz w:val="22"/>
          <w:szCs w:val="23"/>
        </w:rPr>
        <w:t xml:space="preserve"> 2006 </w:t>
      </w:r>
      <w:r w:rsidRPr="00652412">
        <w:rPr>
          <w:rFonts w:ascii="Times New Roman" w:hAnsi="Times New Roman" w:cs="Times New Roman"/>
          <w:b/>
          <w:bCs/>
          <w:sz w:val="22"/>
          <w:szCs w:val="23"/>
        </w:rPr>
        <w:t xml:space="preserve">report </w:t>
      </w:r>
      <w:r w:rsidR="00026880" w:rsidRPr="00652412">
        <w:rPr>
          <w:rFonts w:ascii="Times New Roman" w:hAnsi="Times New Roman" w:cs="Times New Roman"/>
          <w:b/>
          <w:bCs/>
          <w:sz w:val="22"/>
          <w:szCs w:val="23"/>
        </w:rPr>
        <w:t>by the then-Institute of Medicine (IOM, now National Academy of Science)</w:t>
      </w:r>
      <w:r w:rsidR="008B2A89">
        <w:rPr>
          <w:rFonts w:ascii="Times New Roman" w:hAnsi="Times New Roman" w:cs="Times New Roman"/>
          <w:b/>
          <w:bCs/>
          <w:sz w:val="22"/>
          <w:szCs w:val="23"/>
        </w:rPr>
        <w:t>, are recognized</w:t>
      </w:r>
      <w:r w:rsidR="00026880" w:rsidRPr="00652412">
        <w:rPr>
          <w:rFonts w:ascii="Times New Roman" w:hAnsi="Times New Roman" w:cs="Times New Roman"/>
          <w:b/>
          <w:bCs/>
          <w:sz w:val="22"/>
          <w:szCs w:val="23"/>
        </w:rPr>
        <w:t>.</w:t>
      </w:r>
    </w:p>
    <w:p w:rsidR="003352CA" w:rsidRPr="00652412" w:rsidRDefault="003352CA">
      <w:pPr>
        <w:rPr>
          <w:sz w:val="22"/>
        </w:rPr>
      </w:pPr>
    </w:p>
    <w:p w:rsidR="003352CA" w:rsidRPr="00652412" w:rsidRDefault="003352CA" w:rsidP="003352CA">
      <w:pPr>
        <w:rPr>
          <w:rFonts w:ascii="Times New Roman" w:hAnsi="Times New Roman" w:cs="Times New Roman"/>
          <w:b/>
          <w:bCs/>
          <w:color w:val="666666"/>
          <w:sz w:val="22"/>
          <w:szCs w:val="23"/>
          <w:u w:val="single"/>
        </w:rPr>
      </w:pPr>
      <w:r w:rsidRPr="00652412">
        <w:rPr>
          <w:rFonts w:ascii="Times New Roman" w:hAnsi="Times New Roman" w:cs="Times New Roman"/>
          <w:b/>
          <w:bCs/>
          <w:sz w:val="22"/>
          <w:szCs w:val="23"/>
          <w:u w:val="single"/>
        </w:rPr>
        <w:t xml:space="preserve">The Need for Economic Stability:  The GAO </w:t>
      </w:r>
      <w:proofErr w:type="gramStart"/>
      <w:r w:rsidRPr="00652412">
        <w:rPr>
          <w:rFonts w:ascii="Times New Roman" w:hAnsi="Times New Roman" w:cs="Times New Roman"/>
          <w:b/>
          <w:bCs/>
          <w:sz w:val="22"/>
          <w:szCs w:val="23"/>
          <w:u w:val="single"/>
        </w:rPr>
        <w:t>Recognizes</w:t>
      </w:r>
      <w:proofErr w:type="gramEnd"/>
      <w:r w:rsidRPr="00652412">
        <w:rPr>
          <w:rFonts w:ascii="Times New Roman" w:hAnsi="Times New Roman" w:cs="Times New Roman"/>
          <w:b/>
          <w:bCs/>
          <w:sz w:val="22"/>
          <w:szCs w:val="23"/>
          <w:u w:val="single"/>
        </w:rPr>
        <w:t xml:space="preserve"> that Ambulance Services are Reimbursed Below Cost</w:t>
      </w:r>
    </w:p>
    <w:p w:rsidR="003352CA" w:rsidRPr="00652412" w:rsidRDefault="003352CA" w:rsidP="003352CA">
      <w:pPr>
        <w:numPr>
          <w:ilvl w:val="0"/>
          <w:numId w:val="2"/>
        </w:numPr>
        <w:spacing w:before="40" w:after="40"/>
        <w:rPr>
          <w:rFonts w:ascii="Times New Roman" w:hAnsi="Times New Roman" w:cs="Times New Roman"/>
          <w:b/>
          <w:bCs/>
          <w:sz w:val="22"/>
          <w:szCs w:val="23"/>
          <w:u w:val="single"/>
        </w:rPr>
      </w:pPr>
      <w:r w:rsidRPr="00652412">
        <w:rPr>
          <w:rFonts w:ascii="Times New Roman" w:hAnsi="Times New Roman" w:cs="Times New Roman"/>
          <w:sz w:val="22"/>
          <w:szCs w:val="23"/>
        </w:rPr>
        <w:t xml:space="preserve">As part of the </w:t>
      </w:r>
      <w:r w:rsidRPr="00652412">
        <w:rPr>
          <w:rFonts w:ascii="Times New Roman" w:hAnsi="Times New Roman" w:cs="Times New Roman"/>
          <w:i/>
          <w:sz w:val="22"/>
          <w:szCs w:val="23"/>
        </w:rPr>
        <w:t xml:space="preserve">Middle Class Tax Relief and Job Creation Act </w:t>
      </w:r>
      <w:r w:rsidRPr="00652412">
        <w:rPr>
          <w:rFonts w:ascii="Times New Roman" w:hAnsi="Times New Roman" w:cs="Times New Roman"/>
          <w:sz w:val="22"/>
          <w:szCs w:val="23"/>
        </w:rPr>
        <w:t>of 2012, Congress asked the GAO to update its 2007 ambulance cost report.  On October 1, 2012, the GAO released its updated report.</w:t>
      </w:r>
    </w:p>
    <w:p w:rsidR="003352CA" w:rsidRPr="00652412" w:rsidRDefault="003352CA" w:rsidP="003352CA">
      <w:pPr>
        <w:numPr>
          <w:ilvl w:val="0"/>
          <w:numId w:val="2"/>
        </w:numPr>
        <w:spacing w:before="40" w:after="40"/>
        <w:rPr>
          <w:rFonts w:ascii="Times New Roman" w:hAnsi="Times New Roman" w:cs="Times New Roman"/>
          <w:b/>
          <w:bCs/>
          <w:sz w:val="22"/>
          <w:szCs w:val="23"/>
          <w:u w:val="single"/>
        </w:rPr>
      </w:pPr>
      <w:r w:rsidRPr="00652412">
        <w:rPr>
          <w:rFonts w:ascii="Times New Roman" w:hAnsi="Times New Roman" w:cs="Times New Roman"/>
          <w:sz w:val="22"/>
          <w:szCs w:val="23"/>
        </w:rPr>
        <w:t>The GAO found that ambulance service providers are reimbursed 1% below cost when the 2% urban, 3% rural and super rural add-ons are not taken into account.  The report builds upon the 2007 GAO report</w:t>
      </w:r>
      <w:r w:rsidR="00652412" w:rsidRPr="00652412">
        <w:rPr>
          <w:rFonts w:ascii="Times New Roman" w:hAnsi="Times New Roman" w:cs="Times New Roman"/>
          <w:sz w:val="22"/>
          <w:szCs w:val="23"/>
        </w:rPr>
        <w:t>,</w:t>
      </w:r>
      <w:r w:rsidRPr="00652412">
        <w:rPr>
          <w:rFonts w:ascii="Times New Roman" w:hAnsi="Times New Roman" w:cs="Times New Roman"/>
          <w:sz w:val="22"/>
          <w:szCs w:val="23"/>
        </w:rPr>
        <w:t xml:space="preserve"> which also found that ambulance providers are reimbursed below cost for treating Medicare beneficiaries.</w:t>
      </w:r>
    </w:p>
    <w:p w:rsidR="00A1282C" w:rsidRDefault="003352CA" w:rsidP="00A1282C">
      <w:pPr>
        <w:numPr>
          <w:ilvl w:val="0"/>
          <w:numId w:val="2"/>
        </w:numPr>
        <w:spacing w:before="40" w:after="40"/>
        <w:rPr>
          <w:rFonts w:ascii="Times New Roman" w:hAnsi="Times New Roman" w:cs="Times New Roman"/>
          <w:bCs/>
          <w:sz w:val="22"/>
          <w:szCs w:val="23"/>
          <w:u w:val="single"/>
        </w:rPr>
      </w:pPr>
      <w:r w:rsidRPr="00652412">
        <w:rPr>
          <w:rFonts w:ascii="Times New Roman" w:hAnsi="Times New Roman" w:cs="Times New Roman"/>
          <w:sz w:val="22"/>
          <w:szCs w:val="23"/>
        </w:rPr>
        <w:t>Although the two reports utilize differing methodologies, both reports demonstrate consistent underfunding of the ambulance system over a period of many years.</w:t>
      </w:r>
    </w:p>
    <w:p w:rsidR="00652412" w:rsidRPr="00A1282C" w:rsidRDefault="00A1282C" w:rsidP="00A1282C">
      <w:pPr>
        <w:numPr>
          <w:ilvl w:val="0"/>
          <w:numId w:val="2"/>
        </w:numPr>
        <w:spacing w:before="40" w:after="40"/>
        <w:rPr>
          <w:rFonts w:ascii="Times New Roman" w:hAnsi="Times New Roman" w:cs="Times New Roman"/>
          <w:bCs/>
          <w:sz w:val="22"/>
          <w:szCs w:val="23"/>
          <w:u w:val="single"/>
        </w:rPr>
      </w:pPr>
      <w:r w:rsidRPr="00A1282C">
        <w:rPr>
          <w:rFonts w:ascii="Times New Roman" w:eastAsia="MS Mincho" w:hAnsi="Times New Roman" w:cs="Times New Roman"/>
          <w:bCs/>
          <w:sz w:val="22"/>
          <w:szCs w:val="23"/>
          <w:lang w:eastAsia="ja-JP"/>
        </w:rPr>
        <w:t xml:space="preserve">Ambulance </w:t>
      </w:r>
      <w:r w:rsidR="00594AE6">
        <w:rPr>
          <w:rFonts w:ascii="Times New Roman" w:eastAsia="MS Mincho" w:hAnsi="Times New Roman" w:cs="Times New Roman"/>
          <w:bCs/>
          <w:sz w:val="22"/>
          <w:szCs w:val="23"/>
          <w:lang w:eastAsia="ja-JP"/>
        </w:rPr>
        <w:t>services</w:t>
      </w:r>
      <w:r w:rsidRPr="00A1282C">
        <w:rPr>
          <w:rFonts w:ascii="Times New Roman" w:eastAsia="MS Mincho" w:hAnsi="Times New Roman" w:cs="Times New Roman"/>
          <w:bCs/>
          <w:sz w:val="22"/>
          <w:szCs w:val="23"/>
          <w:lang w:eastAsia="ja-JP"/>
        </w:rPr>
        <w:t xml:space="preserve"> </w:t>
      </w:r>
      <w:r w:rsidRPr="00A1282C">
        <w:rPr>
          <w:rFonts w:ascii="Times New Roman" w:eastAsia="MS Mincho" w:hAnsi="Times New Roman" w:cs="Times New Roman"/>
          <w:b/>
          <w:bCs/>
          <w:sz w:val="22"/>
          <w:szCs w:val="23"/>
          <w:u w:val="single"/>
          <w:lang w:eastAsia="ja-JP"/>
        </w:rPr>
        <w:t>strongly urge Congress to make these add-on payments permanent</w:t>
      </w:r>
      <w:r>
        <w:rPr>
          <w:rFonts w:ascii="Times New Roman" w:eastAsia="MS Mincho" w:hAnsi="Times New Roman" w:cs="Times New Roman"/>
          <w:bCs/>
          <w:sz w:val="22"/>
          <w:szCs w:val="23"/>
          <w:lang w:eastAsia="ja-JP"/>
        </w:rPr>
        <w:t xml:space="preserve">, most recently extended through January 1, 2018 in </w:t>
      </w:r>
      <w:r w:rsidRPr="00A1282C">
        <w:rPr>
          <w:rFonts w:ascii="Times New Roman" w:eastAsia="MS Mincho" w:hAnsi="Times New Roman" w:cs="Times New Roman"/>
          <w:bCs/>
          <w:i/>
          <w:sz w:val="22"/>
          <w:szCs w:val="23"/>
          <w:lang w:eastAsia="ja-JP"/>
        </w:rPr>
        <w:t>The Medicare Access and CHIP Reauthorization Act of 2015</w:t>
      </w:r>
      <w:r w:rsidRPr="00A1282C">
        <w:rPr>
          <w:rFonts w:ascii="Times New Roman" w:eastAsia="MS Mincho" w:hAnsi="Times New Roman" w:cs="Times New Roman"/>
          <w:bCs/>
          <w:sz w:val="22"/>
          <w:szCs w:val="23"/>
          <w:lang w:eastAsia="ja-JP"/>
        </w:rPr>
        <w:t xml:space="preserve"> (H.R.2)</w:t>
      </w:r>
      <w:r>
        <w:rPr>
          <w:rFonts w:ascii="Times New Roman" w:eastAsia="MS Mincho" w:hAnsi="Times New Roman" w:cs="Times New Roman"/>
          <w:bCs/>
          <w:sz w:val="22"/>
          <w:szCs w:val="23"/>
          <w:lang w:eastAsia="ja-JP"/>
        </w:rPr>
        <w:t>.</w:t>
      </w:r>
    </w:p>
    <w:p w:rsidR="00652412" w:rsidRPr="00652412" w:rsidRDefault="00652412">
      <w:pPr>
        <w:rPr>
          <w:rFonts w:ascii="Times New Roman" w:eastAsia="MS Mincho" w:hAnsi="Times New Roman" w:cs="Times New Roman"/>
          <w:b/>
          <w:bCs/>
          <w:sz w:val="22"/>
          <w:szCs w:val="23"/>
          <w:u w:val="single"/>
          <w:lang w:eastAsia="ja-JP"/>
        </w:rPr>
      </w:pPr>
    </w:p>
    <w:p w:rsidR="003352CA" w:rsidRPr="00652412" w:rsidRDefault="003352CA">
      <w:pPr>
        <w:rPr>
          <w:rFonts w:ascii="Times New Roman" w:eastAsia="MS Mincho" w:hAnsi="Times New Roman" w:cs="Times New Roman"/>
          <w:b/>
          <w:bCs/>
          <w:sz w:val="22"/>
          <w:szCs w:val="23"/>
          <w:u w:val="single"/>
          <w:lang w:eastAsia="ja-JP"/>
        </w:rPr>
      </w:pPr>
    </w:p>
    <w:p w:rsidR="00A1282C" w:rsidRDefault="00A1282C">
      <w:pPr>
        <w:rPr>
          <w:rFonts w:ascii="Times New Roman" w:eastAsia="MS Mincho" w:hAnsi="Times New Roman" w:cs="Times New Roman"/>
          <w:b/>
          <w:bCs/>
          <w:sz w:val="22"/>
          <w:szCs w:val="23"/>
          <w:u w:val="single"/>
          <w:lang w:eastAsia="ja-JP"/>
        </w:rPr>
      </w:pPr>
    </w:p>
    <w:p w:rsidR="00A1282C" w:rsidRDefault="00A1282C">
      <w:pPr>
        <w:rPr>
          <w:rFonts w:ascii="Times New Roman" w:eastAsia="MS Mincho" w:hAnsi="Times New Roman" w:cs="Times New Roman"/>
          <w:b/>
          <w:bCs/>
          <w:sz w:val="22"/>
          <w:szCs w:val="23"/>
          <w:u w:val="single"/>
          <w:lang w:eastAsia="ja-JP"/>
        </w:rPr>
      </w:pPr>
    </w:p>
    <w:p w:rsidR="00A1282C" w:rsidRPr="00941CF2" w:rsidRDefault="00A1282C">
      <w:pPr>
        <w:rPr>
          <w:rFonts w:ascii="Times New Roman" w:eastAsia="MS Mincho" w:hAnsi="Times New Roman" w:cs="Times New Roman"/>
          <w:b/>
          <w:bCs/>
          <w:sz w:val="22"/>
          <w:szCs w:val="23"/>
          <w:lang w:eastAsia="ja-JP"/>
        </w:rPr>
      </w:pPr>
      <w:r w:rsidRPr="00941CF2">
        <w:rPr>
          <w:rFonts w:ascii="Times New Roman" w:eastAsia="MS Mincho" w:hAnsi="Times New Roman" w:cs="Times New Roman"/>
          <w:b/>
          <w:bCs/>
          <w:sz w:val="22"/>
          <w:szCs w:val="23"/>
          <w:lang w:eastAsia="ja-JP"/>
        </w:rPr>
        <w:t xml:space="preserve">An end-of-the year health care package may also provide an opportunity to pass non-controversial provisions from S. 377/H.R. 745.  Therefore, we urge </w:t>
      </w:r>
      <w:r w:rsidR="00941CF2" w:rsidRPr="00941CF2">
        <w:rPr>
          <w:rFonts w:ascii="Times New Roman" w:eastAsia="MS Mincho" w:hAnsi="Times New Roman" w:cs="Times New Roman"/>
          <w:b/>
          <w:bCs/>
          <w:sz w:val="22"/>
          <w:szCs w:val="23"/>
          <w:lang w:eastAsia="ja-JP"/>
        </w:rPr>
        <w:t xml:space="preserve">Leadership </w:t>
      </w:r>
      <w:r w:rsidRPr="00941CF2">
        <w:rPr>
          <w:rFonts w:ascii="Times New Roman" w:eastAsia="MS Mincho" w:hAnsi="Times New Roman" w:cs="Times New Roman"/>
          <w:b/>
          <w:bCs/>
          <w:sz w:val="22"/>
          <w:szCs w:val="23"/>
          <w:lang w:eastAsia="ja-JP"/>
        </w:rPr>
        <w:t>to pass the provider status and cost data collection provisions.  These bipartisan p</w:t>
      </w:r>
      <w:r w:rsidR="00941CF2" w:rsidRPr="00941CF2">
        <w:rPr>
          <w:rFonts w:ascii="Times New Roman" w:eastAsia="MS Mincho" w:hAnsi="Times New Roman" w:cs="Times New Roman"/>
          <w:b/>
          <w:bCs/>
          <w:sz w:val="22"/>
          <w:szCs w:val="23"/>
          <w:lang w:eastAsia="ja-JP"/>
        </w:rPr>
        <w:t>olicies</w:t>
      </w:r>
      <w:r w:rsidRPr="00941CF2">
        <w:rPr>
          <w:rFonts w:ascii="Times New Roman" w:eastAsia="MS Mincho" w:hAnsi="Times New Roman" w:cs="Times New Roman"/>
          <w:b/>
          <w:bCs/>
          <w:sz w:val="22"/>
          <w:szCs w:val="23"/>
          <w:lang w:eastAsia="ja-JP"/>
        </w:rPr>
        <w:t xml:space="preserve"> would create the foundation for more meaningful comprehensive ambulance</w:t>
      </w:r>
      <w:r w:rsidR="00941CF2" w:rsidRPr="00941CF2">
        <w:rPr>
          <w:rFonts w:ascii="Times New Roman" w:eastAsia="MS Mincho" w:hAnsi="Times New Roman" w:cs="Times New Roman"/>
          <w:b/>
          <w:bCs/>
          <w:sz w:val="22"/>
          <w:szCs w:val="23"/>
          <w:lang w:eastAsia="ja-JP"/>
        </w:rPr>
        <w:t xml:space="preserve"> reforms</w:t>
      </w:r>
      <w:r w:rsidRPr="00941CF2">
        <w:rPr>
          <w:rFonts w:ascii="Times New Roman" w:eastAsia="MS Mincho" w:hAnsi="Times New Roman" w:cs="Times New Roman"/>
          <w:b/>
          <w:bCs/>
          <w:sz w:val="22"/>
          <w:szCs w:val="23"/>
          <w:lang w:eastAsia="ja-JP"/>
        </w:rPr>
        <w:t>.</w:t>
      </w:r>
    </w:p>
    <w:p w:rsidR="00A1282C" w:rsidRDefault="00A1282C">
      <w:pPr>
        <w:rPr>
          <w:rFonts w:ascii="Times New Roman" w:eastAsia="MS Mincho" w:hAnsi="Times New Roman" w:cs="Times New Roman"/>
          <w:b/>
          <w:bCs/>
          <w:sz w:val="22"/>
          <w:szCs w:val="23"/>
          <w:u w:val="single"/>
          <w:lang w:eastAsia="ja-JP"/>
        </w:rPr>
      </w:pPr>
    </w:p>
    <w:p w:rsidR="00D40A0F" w:rsidRPr="00652412" w:rsidRDefault="008B2A89">
      <w:pPr>
        <w:rPr>
          <w:rFonts w:ascii="Times New Roman" w:eastAsia="MS Mincho" w:hAnsi="Times New Roman" w:cs="Times New Roman"/>
          <w:b/>
          <w:bCs/>
          <w:sz w:val="22"/>
          <w:szCs w:val="23"/>
          <w:u w:val="single"/>
          <w:lang w:eastAsia="ja-JP"/>
        </w:rPr>
      </w:pPr>
      <w:r>
        <w:rPr>
          <w:rFonts w:ascii="Times New Roman" w:eastAsia="MS Mincho" w:hAnsi="Times New Roman" w:cs="Times New Roman"/>
          <w:b/>
          <w:bCs/>
          <w:sz w:val="22"/>
          <w:szCs w:val="23"/>
          <w:u w:val="single"/>
          <w:lang w:eastAsia="ja-JP"/>
        </w:rPr>
        <w:t xml:space="preserve">The Need for Collecting Cost Data:  </w:t>
      </w:r>
      <w:r w:rsidR="00941CF2">
        <w:rPr>
          <w:rFonts w:ascii="Times New Roman" w:eastAsia="MS Mincho" w:hAnsi="Times New Roman" w:cs="Times New Roman"/>
          <w:b/>
          <w:bCs/>
          <w:sz w:val="22"/>
          <w:szCs w:val="23"/>
          <w:u w:val="single"/>
          <w:lang w:eastAsia="ja-JP"/>
        </w:rPr>
        <w:t xml:space="preserve">Both the Ambulance Community and the Government Recognize that We Need to Collect </w:t>
      </w:r>
      <w:r w:rsidR="00D86AF9">
        <w:rPr>
          <w:rFonts w:ascii="Times New Roman" w:eastAsia="MS Mincho" w:hAnsi="Times New Roman" w:cs="Times New Roman"/>
          <w:b/>
          <w:bCs/>
          <w:sz w:val="22"/>
          <w:szCs w:val="23"/>
          <w:u w:val="single"/>
          <w:lang w:eastAsia="ja-JP"/>
        </w:rPr>
        <w:t xml:space="preserve">Cost Data to Appropriately Reimburse for Ambulance Services </w:t>
      </w:r>
    </w:p>
    <w:p w:rsidR="00D86AF9" w:rsidRDefault="00D86AF9" w:rsidP="00D86AF9">
      <w:pPr>
        <w:pStyle w:val="ListParagraph"/>
        <w:numPr>
          <w:ilvl w:val="0"/>
          <w:numId w:val="3"/>
        </w:numPr>
        <w:rPr>
          <w:rFonts w:ascii="Times New Roman" w:hAnsi="Times New Roman"/>
          <w:sz w:val="22"/>
        </w:rPr>
      </w:pPr>
      <w:r>
        <w:rPr>
          <w:rFonts w:ascii="Times New Roman" w:hAnsi="Times New Roman"/>
          <w:sz w:val="22"/>
        </w:rPr>
        <w:t>While CMS traditionally requires a cost reporting system, it recognizes that traditional cost reports will not work for ambulance s</w:t>
      </w:r>
      <w:r w:rsidRPr="00D86AF9">
        <w:rPr>
          <w:rFonts w:ascii="Times New Roman" w:hAnsi="Times New Roman"/>
          <w:sz w:val="22"/>
        </w:rPr>
        <w:t>ervices</w:t>
      </w:r>
      <w:r>
        <w:rPr>
          <w:rFonts w:ascii="Times New Roman" w:hAnsi="Times New Roman"/>
          <w:sz w:val="22"/>
        </w:rPr>
        <w:t>.</w:t>
      </w:r>
    </w:p>
    <w:p w:rsidR="00D86AF9" w:rsidRPr="00D86AF9" w:rsidRDefault="00D86AF9" w:rsidP="00D86AF9">
      <w:pPr>
        <w:pStyle w:val="ListParagraph"/>
        <w:numPr>
          <w:ilvl w:val="0"/>
          <w:numId w:val="3"/>
        </w:numPr>
        <w:rPr>
          <w:rFonts w:ascii="Times New Roman" w:hAnsi="Times New Roman"/>
          <w:sz w:val="22"/>
        </w:rPr>
      </w:pPr>
      <w:r w:rsidRPr="00D86AF9">
        <w:rPr>
          <w:rFonts w:ascii="Times New Roman" w:hAnsi="Times New Roman"/>
          <w:sz w:val="22"/>
        </w:rPr>
        <w:t>Given the approximately 13,000 ambulance providers, many of whom have 5 ambulances or less, a CMS report recognized that current cost reporting methods are not appropriate because they do not take into account the wide variety of characteristics of ambulance providers and suppliers.</w:t>
      </w:r>
    </w:p>
    <w:p w:rsidR="00E50427" w:rsidRPr="00652412" w:rsidRDefault="00817C60" w:rsidP="00E50427">
      <w:pPr>
        <w:pStyle w:val="ListParagraph"/>
        <w:numPr>
          <w:ilvl w:val="0"/>
          <w:numId w:val="3"/>
        </w:numPr>
        <w:rPr>
          <w:rFonts w:ascii="Times New Roman" w:hAnsi="Times New Roman"/>
          <w:sz w:val="22"/>
        </w:rPr>
      </w:pPr>
      <w:r w:rsidRPr="00652412">
        <w:rPr>
          <w:rFonts w:ascii="Times New Roman" w:hAnsi="Times New Roman"/>
          <w:sz w:val="22"/>
        </w:rPr>
        <w:t>The legislation creates a hybrid model of cost data collection in which</w:t>
      </w:r>
      <w:r w:rsidR="00E50427" w:rsidRPr="00652412">
        <w:rPr>
          <w:rFonts w:ascii="Times New Roman" w:hAnsi="Times New Roman"/>
          <w:sz w:val="22"/>
        </w:rPr>
        <w:t xml:space="preserve"> </w:t>
      </w:r>
    </w:p>
    <w:p w:rsidR="00E50427" w:rsidRPr="00652412" w:rsidRDefault="00E50427" w:rsidP="00E50427">
      <w:pPr>
        <w:pStyle w:val="ListParagraph"/>
        <w:numPr>
          <w:ilvl w:val="1"/>
          <w:numId w:val="3"/>
        </w:numPr>
        <w:rPr>
          <w:rFonts w:ascii="Times New Roman" w:hAnsi="Times New Roman"/>
          <w:sz w:val="22"/>
        </w:rPr>
      </w:pPr>
      <w:r w:rsidRPr="00652412">
        <w:rPr>
          <w:rFonts w:ascii="Times New Roman" w:hAnsi="Times New Roman"/>
          <w:sz w:val="22"/>
        </w:rPr>
        <w:t>CMS would designate ambulance services by structure (</w:t>
      </w:r>
      <w:r w:rsidRPr="00652412">
        <w:rPr>
          <w:rFonts w:ascii="Times New Roman" w:hAnsi="Times New Roman"/>
          <w:i/>
          <w:sz w:val="22"/>
        </w:rPr>
        <w:t xml:space="preserve">e.g., </w:t>
      </w:r>
      <w:r w:rsidRPr="00652412">
        <w:rPr>
          <w:rFonts w:ascii="Times New Roman" w:hAnsi="Times New Roman"/>
          <w:sz w:val="22"/>
        </w:rPr>
        <w:t>volunteer, governmental entity, private, etc)</w:t>
      </w:r>
      <w:r w:rsidR="00652412">
        <w:rPr>
          <w:rFonts w:ascii="Times New Roman" w:hAnsi="Times New Roman"/>
          <w:sz w:val="22"/>
        </w:rPr>
        <w:t>.</w:t>
      </w:r>
    </w:p>
    <w:p w:rsidR="00E50427" w:rsidRPr="00652412" w:rsidRDefault="00E50427" w:rsidP="00E50427">
      <w:pPr>
        <w:pStyle w:val="ListParagraph"/>
        <w:numPr>
          <w:ilvl w:val="1"/>
          <w:numId w:val="3"/>
        </w:numPr>
        <w:rPr>
          <w:rFonts w:ascii="Times New Roman" w:hAnsi="Times New Roman"/>
          <w:sz w:val="22"/>
        </w:rPr>
      </w:pPr>
      <w:r w:rsidRPr="00652412">
        <w:rPr>
          <w:rFonts w:ascii="Times New Roman" w:hAnsi="Times New Roman"/>
          <w:sz w:val="22"/>
        </w:rPr>
        <w:t xml:space="preserve">Within each category, CMS would determine a statistically valid number of services to provide cost and revenue data.  Those </w:t>
      </w:r>
      <w:r w:rsidR="005D2C9C" w:rsidRPr="00652412">
        <w:rPr>
          <w:rFonts w:ascii="Times New Roman" w:hAnsi="Times New Roman"/>
          <w:sz w:val="22"/>
        </w:rPr>
        <w:t>selected</w:t>
      </w:r>
      <w:r w:rsidRPr="00652412">
        <w:rPr>
          <w:rFonts w:ascii="Times New Roman" w:hAnsi="Times New Roman"/>
          <w:sz w:val="22"/>
        </w:rPr>
        <w:t xml:space="preserve"> would not need to provide data again until all ambulance services in the category provide data.  </w:t>
      </w:r>
    </w:p>
    <w:p w:rsidR="00652412" w:rsidRDefault="00E50427" w:rsidP="00E50427">
      <w:pPr>
        <w:pStyle w:val="ListParagraph"/>
        <w:numPr>
          <w:ilvl w:val="1"/>
          <w:numId w:val="3"/>
        </w:numPr>
        <w:rPr>
          <w:rFonts w:ascii="Times New Roman" w:hAnsi="Times New Roman"/>
          <w:sz w:val="22"/>
        </w:rPr>
      </w:pPr>
      <w:r w:rsidRPr="00652412">
        <w:rPr>
          <w:rFonts w:ascii="Times New Roman" w:hAnsi="Times New Roman"/>
          <w:sz w:val="22"/>
        </w:rPr>
        <w:t>If an ambulance service is required to provide data and does not, it would receive a 5% cut the following year</w:t>
      </w:r>
      <w:r w:rsidR="00652412" w:rsidRPr="00652412">
        <w:rPr>
          <w:rFonts w:ascii="Times New Roman" w:hAnsi="Times New Roman"/>
          <w:sz w:val="22"/>
        </w:rPr>
        <w:t>.</w:t>
      </w:r>
    </w:p>
    <w:p w:rsidR="00DA3D7D" w:rsidRPr="00652412" w:rsidRDefault="00DA3D7D" w:rsidP="00DA3D7D">
      <w:pPr>
        <w:pStyle w:val="ListParagraph"/>
        <w:numPr>
          <w:ilvl w:val="0"/>
          <w:numId w:val="3"/>
        </w:numPr>
        <w:rPr>
          <w:rFonts w:ascii="Times New Roman" w:hAnsi="Times New Roman"/>
          <w:sz w:val="22"/>
        </w:rPr>
      </w:pPr>
      <w:r>
        <w:rPr>
          <w:rFonts w:ascii="Times New Roman" w:hAnsi="Times New Roman"/>
          <w:sz w:val="22"/>
        </w:rPr>
        <w:t>Similar provisions passed out of the Senate Finance Committee in December 2013.</w:t>
      </w:r>
    </w:p>
    <w:p w:rsidR="00E50427" w:rsidRPr="00652412" w:rsidRDefault="00E50427" w:rsidP="00652412">
      <w:pPr>
        <w:rPr>
          <w:rFonts w:ascii="Times New Roman" w:hAnsi="Times New Roman"/>
          <w:sz w:val="22"/>
        </w:rPr>
      </w:pPr>
    </w:p>
    <w:p w:rsidR="009711F2" w:rsidRPr="00652412" w:rsidRDefault="00C46920" w:rsidP="00C46920">
      <w:pPr>
        <w:rPr>
          <w:rFonts w:ascii="Times New Roman" w:hAnsi="Times New Roman"/>
          <w:b/>
          <w:sz w:val="22"/>
          <w:u w:val="single"/>
        </w:rPr>
      </w:pPr>
      <w:r w:rsidRPr="00652412">
        <w:rPr>
          <w:rFonts w:ascii="Times New Roman" w:hAnsi="Times New Roman"/>
          <w:b/>
          <w:sz w:val="22"/>
          <w:u w:val="single"/>
        </w:rPr>
        <w:t>The Need for Provider Status:  The IOM Recognizes that Ambulance Services Provide Health Care Services, Not Just Medical Transportation</w:t>
      </w:r>
    </w:p>
    <w:p w:rsidR="00932762" w:rsidRPr="00652412" w:rsidRDefault="009711F2" w:rsidP="009711F2">
      <w:pPr>
        <w:pStyle w:val="ListParagraph"/>
        <w:numPr>
          <w:ilvl w:val="0"/>
          <w:numId w:val="4"/>
        </w:numPr>
        <w:rPr>
          <w:rFonts w:ascii="Times New Roman" w:hAnsi="Times New Roman"/>
          <w:sz w:val="22"/>
        </w:rPr>
      </w:pPr>
      <w:r w:rsidRPr="00652412">
        <w:rPr>
          <w:rFonts w:ascii="Times New Roman" w:hAnsi="Times New Roman"/>
          <w:sz w:val="22"/>
        </w:rPr>
        <w:t>“Emergency care has made important advances in recent decades: emergency 9-1-1 service now links virtually all ill and injured Americans to immediate medical response; organized trauma systems transport patients to advanced, lifesaving care within minutes; and advances in resuscitation and lifesaving procedures yield outcomes unheard of just two decades ago</w:t>
      </w:r>
      <w:r w:rsidR="00652412" w:rsidRPr="00652412">
        <w:rPr>
          <w:rFonts w:ascii="Times New Roman" w:hAnsi="Times New Roman"/>
          <w:sz w:val="22"/>
        </w:rPr>
        <w:t>.</w:t>
      </w:r>
      <w:r w:rsidRPr="00652412">
        <w:rPr>
          <w:rFonts w:ascii="Times New Roman" w:hAnsi="Times New Roman"/>
          <w:sz w:val="22"/>
        </w:rPr>
        <w:t xml:space="preserve">” (Institute of Medicine:  </w:t>
      </w:r>
      <w:r w:rsidRPr="00652412">
        <w:rPr>
          <w:rFonts w:ascii="Times New Roman" w:hAnsi="Times New Roman"/>
          <w:i/>
          <w:iCs/>
          <w:sz w:val="22"/>
        </w:rPr>
        <w:t>Emergency Medical Services at a Crossroads</w:t>
      </w:r>
      <w:r w:rsidRPr="00652412">
        <w:rPr>
          <w:rFonts w:ascii="Times New Roman" w:hAnsi="Times New Roman"/>
          <w:sz w:val="22"/>
        </w:rPr>
        <w:t xml:space="preserve"> (2006))</w:t>
      </w:r>
      <w:r w:rsidR="00652412" w:rsidRPr="00652412">
        <w:rPr>
          <w:rFonts w:ascii="Times New Roman" w:hAnsi="Times New Roman"/>
          <w:sz w:val="22"/>
        </w:rPr>
        <w:t>.</w:t>
      </w:r>
    </w:p>
    <w:p w:rsidR="00932762" w:rsidRPr="00652412" w:rsidRDefault="00932762" w:rsidP="00932762">
      <w:pPr>
        <w:pStyle w:val="ListParagraph"/>
        <w:numPr>
          <w:ilvl w:val="0"/>
          <w:numId w:val="4"/>
        </w:numPr>
        <w:rPr>
          <w:rFonts w:ascii="Times New Roman" w:hAnsi="Times New Roman"/>
          <w:sz w:val="22"/>
        </w:rPr>
      </w:pPr>
      <w:r w:rsidRPr="00652412">
        <w:rPr>
          <w:rFonts w:ascii="Times New Roman" w:hAnsi="Times New Roman"/>
          <w:sz w:val="22"/>
        </w:rPr>
        <w:t>Designating ambulance services as providers is important because</w:t>
      </w:r>
      <w:r w:rsidR="008B2A89">
        <w:rPr>
          <w:rFonts w:ascii="Times New Roman" w:hAnsi="Times New Roman"/>
          <w:sz w:val="22"/>
        </w:rPr>
        <w:t>:</w:t>
      </w:r>
    </w:p>
    <w:p w:rsidR="00932762" w:rsidRPr="00652412" w:rsidRDefault="00932762" w:rsidP="00932762">
      <w:pPr>
        <w:pStyle w:val="ListParagraph"/>
        <w:numPr>
          <w:ilvl w:val="1"/>
          <w:numId w:val="4"/>
        </w:numPr>
        <w:rPr>
          <w:rFonts w:ascii="Times New Roman" w:hAnsi="Times New Roman"/>
          <w:sz w:val="22"/>
        </w:rPr>
      </w:pPr>
      <w:r w:rsidRPr="00652412">
        <w:rPr>
          <w:rFonts w:ascii="Times New Roman" w:hAnsi="Times New Roman"/>
          <w:sz w:val="22"/>
        </w:rPr>
        <w:t>Payment rates need to recognize the costs of the health care services provided, as well as the transportation</w:t>
      </w:r>
      <w:r w:rsidR="00652412" w:rsidRPr="00652412">
        <w:rPr>
          <w:rFonts w:ascii="Times New Roman" w:hAnsi="Times New Roman"/>
          <w:sz w:val="22"/>
        </w:rPr>
        <w:t>;</w:t>
      </w:r>
    </w:p>
    <w:p w:rsidR="00932762" w:rsidRPr="00652412" w:rsidRDefault="00932762" w:rsidP="00932762">
      <w:pPr>
        <w:pStyle w:val="ListParagraph"/>
        <w:numPr>
          <w:ilvl w:val="1"/>
          <w:numId w:val="4"/>
        </w:numPr>
        <w:rPr>
          <w:rFonts w:ascii="Times New Roman" w:hAnsi="Times New Roman"/>
          <w:sz w:val="22"/>
        </w:rPr>
      </w:pPr>
      <w:r w:rsidRPr="00652412">
        <w:rPr>
          <w:rFonts w:ascii="Times New Roman" w:hAnsi="Times New Roman"/>
          <w:sz w:val="22"/>
        </w:rPr>
        <w:t>Provider status sets the stage for future reform:  alternative destinations, treatment without transport, mobile integrated health/community paramedicine</w:t>
      </w:r>
      <w:r w:rsidR="00652412" w:rsidRPr="00652412">
        <w:rPr>
          <w:rFonts w:ascii="Times New Roman" w:hAnsi="Times New Roman"/>
          <w:sz w:val="22"/>
        </w:rPr>
        <w:t>; and</w:t>
      </w:r>
    </w:p>
    <w:p w:rsidR="00932762" w:rsidRPr="00652412" w:rsidRDefault="00932762" w:rsidP="00932762">
      <w:pPr>
        <w:pStyle w:val="ListParagraph"/>
        <w:numPr>
          <w:ilvl w:val="1"/>
          <w:numId w:val="4"/>
        </w:numPr>
        <w:rPr>
          <w:rFonts w:ascii="Times New Roman" w:hAnsi="Times New Roman"/>
          <w:sz w:val="22"/>
        </w:rPr>
      </w:pPr>
      <w:r w:rsidRPr="00652412">
        <w:rPr>
          <w:rFonts w:ascii="Times New Roman" w:hAnsi="Times New Roman"/>
          <w:sz w:val="22"/>
        </w:rPr>
        <w:t>Statutory requirements on providers will raise the bar for billing Medicare and help reduce fraud and abuse</w:t>
      </w:r>
      <w:r w:rsidR="00652412" w:rsidRPr="00652412">
        <w:rPr>
          <w:rFonts w:ascii="Times New Roman" w:hAnsi="Times New Roman"/>
          <w:sz w:val="22"/>
        </w:rPr>
        <w:t>.</w:t>
      </w:r>
    </w:p>
    <w:p w:rsidR="00F04BA7" w:rsidRPr="00652412" w:rsidRDefault="00F04BA7" w:rsidP="00932762">
      <w:pPr>
        <w:rPr>
          <w:rFonts w:ascii="Times New Roman" w:hAnsi="Times New Roman"/>
          <w:sz w:val="22"/>
        </w:rPr>
      </w:pPr>
    </w:p>
    <w:p w:rsidR="009711F2" w:rsidRPr="00DA3D7D" w:rsidRDefault="00F04BA7" w:rsidP="00DA3D7D">
      <w:pPr>
        <w:pBdr>
          <w:top w:val="single" w:sz="4" w:space="1" w:color="auto"/>
          <w:left w:val="single" w:sz="4" w:space="4" w:color="auto"/>
          <w:bottom w:val="single" w:sz="4" w:space="1" w:color="auto"/>
          <w:right w:val="single" w:sz="4" w:space="4" w:color="auto"/>
        </w:pBdr>
        <w:spacing w:before="40" w:after="40"/>
        <w:rPr>
          <w:rFonts w:ascii="Times New Roman" w:hAnsi="Times New Roman" w:cs="Times New Roman"/>
          <w:b/>
          <w:sz w:val="22"/>
          <w:szCs w:val="23"/>
        </w:rPr>
      </w:pPr>
      <w:r w:rsidRPr="00652412">
        <w:rPr>
          <w:rFonts w:ascii="Times New Roman" w:hAnsi="Times New Roman" w:cs="Times New Roman"/>
          <w:b/>
          <w:sz w:val="22"/>
          <w:szCs w:val="23"/>
        </w:rPr>
        <w:t>The American Ambulance Association, American Hospital Association, International Association of Fire Chiefs, National Association of Emergency Medical Technicians, National Rural Health Association, National Volunteer Fire Council and over 20 state ambulance and EMS organization support the Medicare Ambulance Access, Fraud Prevention and Reform Act.</w:t>
      </w:r>
    </w:p>
    <w:sectPr w:rsidR="009711F2" w:rsidRPr="00DA3D7D" w:rsidSect="00594AE6">
      <w:headerReference w:type="default" r:id="rId7"/>
      <w:headerReference w:type="firs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992" w:rsidRDefault="00FD2992" w:rsidP="00EF1471">
      <w:r>
        <w:separator/>
      </w:r>
    </w:p>
  </w:endnote>
  <w:endnote w:type="continuationSeparator" w:id="0">
    <w:p w:rsidR="00FD2992" w:rsidRDefault="00FD2992" w:rsidP="00EF1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992" w:rsidRDefault="00FD2992" w:rsidP="00EF1471">
      <w:r>
        <w:separator/>
      </w:r>
    </w:p>
  </w:footnote>
  <w:footnote w:type="continuationSeparator" w:id="0">
    <w:p w:rsidR="00FD2992" w:rsidRDefault="00FD2992" w:rsidP="00EF14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992" w:rsidRDefault="00FD2992" w:rsidP="00EF1471">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AE6" w:rsidRDefault="00594AE6" w:rsidP="00594AE6">
    <w:pPr>
      <w:pStyle w:val="Header"/>
      <w:jc w:val="center"/>
    </w:pPr>
    <w:r w:rsidRPr="00594AE6">
      <w:rPr>
        <w:noProof/>
      </w:rPr>
      <w:drawing>
        <wp:inline distT="0" distB="0" distL="0" distR="0">
          <wp:extent cx="1493520" cy="9874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9874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60FE6"/>
    <w:multiLevelType w:val="hybridMultilevel"/>
    <w:tmpl w:val="53485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0E0146"/>
    <w:multiLevelType w:val="hybridMultilevel"/>
    <w:tmpl w:val="1018CE48"/>
    <w:lvl w:ilvl="0" w:tplc="81003E0E">
      <w:start w:val="1"/>
      <w:numFmt w:val="bullet"/>
      <w:lvlText w:val=""/>
      <w:lvlJc w:val="left"/>
      <w:pPr>
        <w:tabs>
          <w:tab w:val="num" w:pos="720"/>
        </w:tabs>
        <w:ind w:left="720" w:hanging="360"/>
      </w:pPr>
      <w:rPr>
        <w:rFonts w:ascii="Symbol" w:hAnsi="Symbol" w:hint="default"/>
      </w:rPr>
    </w:lvl>
    <w:lvl w:ilvl="1" w:tplc="F0F470CA">
      <w:start w:val="1"/>
      <w:numFmt w:val="bullet"/>
      <w:lvlText w:val="o"/>
      <w:lvlJc w:val="left"/>
      <w:pPr>
        <w:tabs>
          <w:tab w:val="num" w:pos="1440"/>
        </w:tabs>
        <w:ind w:left="1440" w:hanging="360"/>
      </w:pPr>
      <w:rPr>
        <w:rFonts w:ascii="Courier New" w:hAnsi="Courier New" w:cs="Symbol" w:hint="default"/>
      </w:rPr>
    </w:lvl>
    <w:lvl w:ilvl="2" w:tplc="72D28294">
      <w:start w:val="1"/>
      <w:numFmt w:val="bullet"/>
      <w:lvlText w:val=""/>
      <w:lvlJc w:val="left"/>
      <w:pPr>
        <w:tabs>
          <w:tab w:val="num" w:pos="2160"/>
        </w:tabs>
        <w:ind w:left="2160" w:hanging="360"/>
      </w:pPr>
      <w:rPr>
        <w:rFonts w:ascii="Wingdings" w:hAnsi="Wingdings" w:cs="Wingdings" w:hint="default"/>
      </w:rPr>
    </w:lvl>
    <w:lvl w:ilvl="3" w:tplc="F6EA18AA">
      <w:start w:val="1"/>
      <w:numFmt w:val="decimal"/>
      <w:lvlText w:val="%4."/>
      <w:lvlJc w:val="left"/>
      <w:pPr>
        <w:tabs>
          <w:tab w:val="num" w:pos="2880"/>
        </w:tabs>
        <w:ind w:left="2880" w:hanging="360"/>
      </w:pPr>
    </w:lvl>
    <w:lvl w:ilvl="4" w:tplc="AA8089B6">
      <w:start w:val="1"/>
      <w:numFmt w:val="decimal"/>
      <w:lvlText w:val="%5."/>
      <w:lvlJc w:val="left"/>
      <w:pPr>
        <w:tabs>
          <w:tab w:val="num" w:pos="3600"/>
        </w:tabs>
        <w:ind w:left="3600" w:hanging="360"/>
      </w:pPr>
    </w:lvl>
    <w:lvl w:ilvl="5" w:tplc="98EC0850">
      <w:start w:val="1"/>
      <w:numFmt w:val="decimal"/>
      <w:lvlText w:val="%6."/>
      <w:lvlJc w:val="left"/>
      <w:pPr>
        <w:tabs>
          <w:tab w:val="num" w:pos="4320"/>
        </w:tabs>
        <w:ind w:left="4320" w:hanging="360"/>
      </w:pPr>
    </w:lvl>
    <w:lvl w:ilvl="6" w:tplc="3FE81580">
      <w:start w:val="1"/>
      <w:numFmt w:val="decimal"/>
      <w:lvlText w:val="%7."/>
      <w:lvlJc w:val="left"/>
      <w:pPr>
        <w:tabs>
          <w:tab w:val="num" w:pos="5040"/>
        </w:tabs>
        <w:ind w:left="5040" w:hanging="360"/>
      </w:pPr>
    </w:lvl>
    <w:lvl w:ilvl="7" w:tplc="51E4036C">
      <w:start w:val="1"/>
      <w:numFmt w:val="decimal"/>
      <w:lvlText w:val="%8."/>
      <w:lvlJc w:val="left"/>
      <w:pPr>
        <w:tabs>
          <w:tab w:val="num" w:pos="5760"/>
        </w:tabs>
        <w:ind w:left="5760" w:hanging="360"/>
      </w:pPr>
    </w:lvl>
    <w:lvl w:ilvl="8" w:tplc="BADE8E7C">
      <w:start w:val="1"/>
      <w:numFmt w:val="decimal"/>
      <w:lvlText w:val="%9."/>
      <w:lvlJc w:val="left"/>
      <w:pPr>
        <w:tabs>
          <w:tab w:val="num" w:pos="6480"/>
        </w:tabs>
        <w:ind w:left="6480" w:hanging="360"/>
      </w:pPr>
    </w:lvl>
  </w:abstractNum>
  <w:abstractNum w:abstractNumId="2" w15:restartNumberingAfterBreak="0">
    <w:nsid w:val="4FAE16CF"/>
    <w:multiLevelType w:val="hybridMultilevel"/>
    <w:tmpl w:val="48928A4C"/>
    <w:lvl w:ilvl="0" w:tplc="1DB65A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429EC"/>
    <w:multiLevelType w:val="hybridMultilevel"/>
    <w:tmpl w:val="13C6F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94A89"/>
    <w:multiLevelType w:val="hybridMultilevel"/>
    <w:tmpl w:val="4F88AAE2"/>
    <w:lvl w:ilvl="0" w:tplc="998655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DAuthor" w:val="False"/>
    <w:docVar w:name="DocIDClientMatter" w:val="False"/>
    <w:docVar w:name="DocIDDate" w:val="False"/>
    <w:docVar w:name="DocIDLibrary" w:val="False"/>
    <w:docVar w:name="DocIDType" w:val="AllPages"/>
    <w:docVar w:name="DocIDTypist" w:val="False"/>
    <w:docVar w:name="LegacyDocIDRemoved" w:val="True"/>
  </w:docVars>
  <w:rsids>
    <w:rsidRoot w:val="00026880"/>
    <w:rsid w:val="00026880"/>
    <w:rsid w:val="00210842"/>
    <w:rsid w:val="002F4B1C"/>
    <w:rsid w:val="003352CA"/>
    <w:rsid w:val="003F185E"/>
    <w:rsid w:val="0044012F"/>
    <w:rsid w:val="005457FC"/>
    <w:rsid w:val="00594AE6"/>
    <w:rsid w:val="005D2C9C"/>
    <w:rsid w:val="00652412"/>
    <w:rsid w:val="006B5064"/>
    <w:rsid w:val="00740B53"/>
    <w:rsid w:val="00812694"/>
    <w:rsid w:val="00817C60"/>
    <w:rsid w:val="008B2A89"/>
    <w:rsid w:val="00932762"/>
    <w:rsid w:val="00941CF2"/>
    <w:rsid w:val="009711F2"/>
    <w:rsid w:val="00A1282C"/>
    <w:rsid w:val="00A24394"/>
    <w:rsid w:val="00B60EC6"/>
    <w:rsid w:val="00C46920"/>
    <w:rsid w:val="00D40A0F"/>
    <w:rsid w:val="00D86AF9"/>
    <w:rsid w:val="00DA3D7D"/>
    <w:rsid w:val="00E50427"/>
    <w:rsid w:val="00EF1471"/>
    <w:rsid w:val="00EF66E5"/>
    <w:rsid w:val="00F04BA7"/>
    <w:rsid w:val="00F848D8"/>
    <w:rsid w:val="00FD299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9FADBBE-F93D-486D-B0DC-CE3D0CA2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6E7"/>
  </w:style>
  <w:style w:type="paragraph" w:styleId="Heading1">
    <w:name w:val="heading 1"/>
    <w:basedOn w:val="Normal"/>
    <w:next w:val="Normal"/>
    <w:link w:val="Heading1Char"/>
    <w:uiPriority w:val="9"/>
    <w:qFormat/>
    <w:rsid w:val="00EF14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880"/>
    <w:pPr>
      <w:ind w:left="720"/>
      <w:contextualSpacing/>
    </w:pPr>
  </w:style>
  <w:style w:type="paragraph" w:styleId="Header">
    <w:name w:val="header"/>
    <w:basedOn w:val="Normal"/>
    <w:link w:val="HeaderChar"/>
    <w:uiPriority w:val="99"/>
    <w:unhideWhenUsed/>
    <w:rsid w:val="00210842"/>
    <w:pPr>
      <w:tabs>
        <w:tab w:val="center" w:pos="4320"/>
        <w:tab w:val="right" w:pos="8640"/>
      </w:tabs>
    </w:pPr>
  </w:style>
  <w:style w:type="character" w:customStyle="1" w:styleId="HeaderChar">
    <w:name w:val="Header Char"/>
    <w:basedOn w:val="DefaultParagraphFont"/>
    <w:link w:val="Header"/>
    <w:uiPriority w:val="99"/>
    <w:rsid w:val="00210842"/>
  </w:style>
  <w:style w:type="paragraph" w:styleId="Footer">
    <w:name w:val="footer"/>
    <w:basedOn w:val="Normal"/>
    <w:link w:val="FooterChar"/>
    <w:uiPriority w:val="99"/>
    <w:unhideWhenUsed/>
    <w:rsid w:val="00210842"/>
    <w:pPr>
      <w:tabs>
        <w:tab w:val="center" w:pos="4320"/>
        <w:tab w:val="right" w:pos="8640"/>
      </w:tabs>
    </w:pPr>
  </w:style>
  <w:style w:type="character" w:customStyle="1" w:styleId="FooterChar">
    <w:name w:val="Footer Char"/>
    <w:basedOn w:val="DefaultParagraphFont"/>
    <w:link w:val="Footer"/>
    <w:uiPriority w:val="99"/>
    <w:rsid w:val="00210842"/>
  </w:style>
  <w:style w:type="character" w:customStyle="1" w:styleId="Heading1Char">
    <w:name w:val="Heading 1 Char"/>
    <w:basedOn w:val="DefaultParagraphFont"/>
    <w:link w:val="Heading1"/>
    <w:uiPriority w:val="9"/>
    <w:rsid w:val="00EF147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F1471"/>
    <w:rPr>
      <w:rFonts w:ascii="Arial" w:hAnsi="Arial" w:cs="Arial"/>
      <w:sz w:val="16"/>
      <w:szCs w:val="16"/>
    </w:rPr>
  </w:style>
  <w:style w:type="character" w:customStyle="1" w:styleId="BalloonTextChar">
    <w:name w:val="Balloon Text Char"/>
    <w:basedOn w:val="DefaultParagraphFont"/>
    <w:link w:val="BalloonText"/>
    <w:uiPriority w:val="99"/>
    <w:semiHidden/>
    <w:rsid w:val="00EF1471"/>
    <w:rPr>
      <w:rFonts w:ascii="Arial" w:hAnsi="Arial" w:cs="Arial"/>
      <w:sz w:val="16"/>
      <w:szCs w:val="16"/>
    </w:rPr>
  </w:style>
  <w:style w:type="character" w:customStyle="1" w:styleId="DocID">
    <w:name w:val="DocID"/>
    <w:basedOn w:val="DefaultParagraphFont"/>
    <w:rsid w:val="0044012F"/>
    <w:rPr>
      <w:rFonts w:ascii="Times New Roman" w:hAnsi="Times New Roman" w:cs="Times New Roman"/>
      <w:b w:val="0"/>
      <w:i w:val="0"/>
      <w:caps w:val="0"/>
      <w:vanish w:val="0"/>
      <w:color w:val="000000"/>
      <w:sz w:val="18"/>
      <w:szCs w:val="28"/>
      <w:u w:val="none"/>
    </w:rPr>
  </w:style>
  <w:style w:type="character" w:styleId="CommentReference">
    <w:name w:val="annotation reference"/>
    <w:basedOn w:val="DefaultParagraphFont"/>
    <w:uiPriority w:val="99"/>
    <w:semiHidden/>
    <w:unhideWhenUsed/>
    <w:rsid w:val="008B2A89"/>
    <w:rPr>
      <w:sz w:val="18"/>
      <w:szCs w:val="18"/>
    </w:rPr>
  </w:style>
  <w:style w:type="paragraph" w:styleId="CommentText">
    <w:name w:val="annotation text"/>
    <w:basedOn w:val="Normal"/>
    <w:link w:val="CommentTextChar"/>
    <w:uiPriority w:val="99"/>
    <w:semiHidden/>
    <w:unhideWhenUsed/>
    <w:rsid w:val="008B2A89"/>
  </w:style>
  <w:style w:type="character" w:customStyle="1" w:styleId="CommentTextChar">
    <w:name w:val="Comment Text Char"/>
    <w:basedOn w:val="DefaultParagraphFont"/>
    <w:link w:val="CommentText"/>
    <w:uiPriority w:val="99"/>
    <w:semiHidden/>
    <w:rsid w:val="008B2A89"/>
  </w:style>
  <w:style w:type="paragraph" w:styleId="CommentSubject">
    <w:name w:val="annotation subject"/>
    <w:basedOn w:val="CommentText"/>
    <w:next w:val="CommentText"/>
    <w:link w:val="CommentSubjectChar"/>
    <w:uiPriority w:val="99"/>
    <w:semiHidden/>
    <w:unhideWhenUsed/>
    <w:rsid w:val="008B2A89"/>
    <w:rPr>
      <w:b/>
      <w:bCs/>
      <w:sz w:val="20"/>
      <w:szCs w:val="20"/>
    </w:rPr>
  </w:style>
  <w:style w:type="character" w:customStyle="1" w:styleId="CommentSubjectChar">
    <w:name w:val="Comment Subject Char"/>
    <w:basedOn w:val="CommentTextChar"/>
    <w:link w:val="CommentSubject"/>
    <w:uiPriority w:val="99"/>
    <w:semiHidden/>
    <w:rsid w:val="008B2A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497522">
      <w:bodyDiv w:val="1"/>
      <w:marLeft w:val="0"/>
      <w:marRight w:val="0"/>
      <w:marTop w:val="0"/>
      <w:marBottom w:val="0"/>
      <w:divBdr>
        <w:top w:val="none" w:sz="0" w:space="0" w:color="auto"/>
        <w:left w:val="none" w:sz="0" w:space="0" w:color="auto"/>
        <w:bottom w:val="none" w:sz="0" w:space="0" w:color="auto"/>
        <w:right w:val="none" w:sz="0" w:space="0" w:color="auto"/>
      </w:divBdr>
      <w:divsChild>
        <w:div w:id="650409335">
          <w:marLeft w:val="547"/>
          <w:marRight w:val="0"/>
          <w:marTop w:val="0"/>
          <w:marBottom w:val="0"/>
          <w:divBdr>
            <w:top w:val="none" w:sz="0" w:space="0" w:color="auto"/>
            <w:left w:val="none" w:sz="0" w:space="0" w:color="auto"/>
            <w:bottom w:val="none" w:sz="0" w:space="0" w:color="auto"/>
            <w:right w:val="none" w:sz="0" w:space="0" w:color="auto"/>
          </w:divBdr>
        </w:div>
      </w:divsChild>
    </w:div>
    <w:div w:id="829445267">
      <w:bodyDiv w:val="1"/>
      <w:marLeft w:val="0"/>
      <w:marRight w:val="0"/>
      <w:marTop w:val="0"/>
      <w:marBottom w:val="0"/>
      <w:divBdr>
        <w:top w:val="none" w:sz="0" w:space="0" w:color="auto"/>
        <w:left w:val="none" w:sz="0" w:space="0" w:color="auto"/>
        <w:bottom w:val="none" w:sz="0" w:space="0" w:color="auto"/>
        <w:right w:val="none" w:sz="0" w:space="0" w:color="auto"/>
      </w:divBdr>
      <w:divsChild>
        <w:div w:id="406609005">
          <w:marLeft w:val="547"/>
          <w:marRight w:val="0"/>
          <w:marTop w:val="0"/>
          <w:marBottom w:val="0"/>
          <w:divBdr>
            <w:top w:val="none" w:sz="0" w:space="0" w:color="auto"/>
            <w:left w:val="none" w:sz="0" w:space="0" w:color="auto"/>
            <w:bottom w:val="none" w:sz="0" w:space="0" w:color="auto"/>
            <w:right w:val="none" w:sz="0" w:space="0" w:color="auto"/>
          </w:divBdr>
        </w:div>
        <w:div w:id="1465654341">
          <w:marLeft w:val="547"/>
          <w:marRight w:val="0"/>
          <w:marTop w:val="0"/>
          <w:marBottom w:val="0"/>
          <w:divBdr>
            <w:top w:val="none" w:sz="0" w:space="0" w:color="auto"/>
            <w:left w:val="none" w:sz="0" w:space="0" w:color="auto"/>
            <w:bottom w:val="none" w:sz="0" w:space="0" w:color="auto"/>
            <w:right w:val="none" w:sz="0" w:space="0" w:color="auto"/>
          </w:divBdr>
        </w:div>
        <w:div w:id="305743661">
          <w:marLeft w:val="547"/>
          <w:marRight w:val="0"/>
          <w:marTop w:val="0"/>
          <w:marBottom w:val="0"/>
          <w:divBdr>
            <w:top w:val="none" w:sz="0" w:space="0" w:color="auto"/>
            <w:left w:val="none" w:sz="0" w:space="0" w:color="auto"/>
            <w:bottom w:val="none" w:sz="0" w:space="0" w:color="auto"/>
            <w:right w:val="none" w:sz="0" w:space="0" w:color="auto"/>
          </w:divBdr>
        </w:div>
      </w:divsChild>
    </w:div>
    <w:div w:id="1149054667">
      <w:bodyDiv w:val="1"/>
      <w:marLeft w:val="0"/>
      <w:marRight w:val="0"/>
      <w:marTop w:val="0"/>
      <w:marBottom w:val="0"/>
      <w:divBdr>
        <w:top w:val="none" w:sz="0" w:space="0" w:color="auto"/>
        <w:left w:val="none" w:sz="0" w:space="0" w:color="auto"/>
        <w:bottom w:val="none" w:sz="0" w:space="0" w:color="auto"/>
        <w:right w:val="none" w:sz="0" w:space="0" w:color="auto"/>
      </w:divBdr>
      <w:divsChild>
        <w:div w:id="1550846625">
          <w:marLeft w:val="547"/>
          <w:marRight w:val="0"/>
          <w:marTop w:val="0"/>
          <w:marBottom w:val="0"/>
          <w:divBdr>
            <w:top w:val="none" w:sz="0" w:space="0" w:color="auto"/>
            <w:left w:val="none" w:sz="0" w:space="0" w:color="auto"/>
            <w:bottom w:val="none" w:sz="0" w:space="0" w:color="auto"/>
            <w:right w:val="none" w:sz="0" w:space="0" w:color="auto"/>
          </w:divBdr>
        </w:div>
      </w:divsChild>
    </w:div>
    <w:div w:id="1661228630">
      <w:bodyDiv w:val="1"/>
      <w:marLeft w:val="0"/>
      <w:marRight w:val="0"/>
      <w:marTop w:val="0"/>
      <w:marBottom w:val="0"/>
      <w:divBdr>
        <w:top w:val="none" w:sz="0" w:space="0" w:color="auto"/>
        <w:left w:val="none" w:sz="0" w:space="0" w:color="auto"/>
        <w:bottom w:val="none" w:sz="0" w:space="0" w:color="auto"/>
        <w:right w:val="none" w:sz="0" w:space="0" w:color="auto"/>
      </w:divBdr>
      <w:divsChild>
        <w:div w:id="1455058938">
          <w:marLeft w:val="1166"/>
          <w:marRight w:val="0"/>
          <w:marTop w:val="0"/>
          <w:marBottom w:val="0"/>
          <w:divBdr>
            <w:top w:val="none" w:sz="0" w:space="0" w:color="auto"/>
            <w:left w:val="none" w:sz="0" w:space="0" w:color="auto"/>
            <w:bottom w:val="none" w:sz="0" w:space="0" w:color="auto"/>
            <w:right w:val="none" w:sz="0" w:space="0" w:color="auto"/>
          </w:divBdr>
        </w:div>
      </w:divsChild>
    </w:div>
    <w:div w:id="1700352615">
      <w:bodyDiv w:val="1"/>
      <w:marLeft w:val="0"/>
      <w:marRight w:val="0"/>
      <w:marTop w:val="0"/>
      <w:marBottom w:val="0"/>
      <w:divBdr>
        <w:top w:val="none" w:sz="0" w:space="0" w:color="auto"/>
        <w:left w:val="none" w:sz="0" w:space="0" w:color="auto"/>
        <w:bottom w:val="none" w:sz="0" w:space="0" w:color="auto"/>
        <w:right w:val="none" w:sz="0" w:space="0" w:color="auto"/>
      </w:divBdr>
      <w:divsChild>
        <w:div w:id="827213521">
          <w:marLeft w:val="547"/>
          <w:marRight w:val="0"/>
          <w:marTop w:val="0"/>
          <w:marBottom w:val="0"/>
          <w:divBdr>
            <w:top w:val="none" w:sz="0" w:space="0" w:color="auto"/>
            <w:left w:val="none" w:sz="0" w:space="0" w:color="auto"/>
            <w:bottom w:val="none" w:sz="0" w:space="0" w:color="auto"/>
            <w:right w:val="none" w:sz="0" w:space="0" w:color="auto"/>
          </w:divBdr>
        </w:div>
        <w:div w:id="1461681189">
          <w:marLeft w:val="547"/>
          <w:marRight w:val="0"/>
          <w:marTop w:val="0"/>
          <w:marBottom w:val="0"/>
          <w:divBdr>
            <w:top w:val="none" w:sz="0" w:space="0" w:color="auto"/>
            <w:left w:val="none" w:sz="0" w:space="0" w:color="auto"/>
            <w:bottom w:val="none" w:sz="0" w:space="0" w:color="auto"/>
            <w:right w:val="none" w:sz="0" w:space="0" w:color="auto"/>
          </w:divBdr>
        </w:div>
        <w:div w:id="1212687829">
          <w:marLeft w:val="547"/>
          <w:marRight w:val="0"/>
          <w:marTop w:val="0"/>
          <w:marBottom w:val="0"/>
          <w:divBdr>
            <w:top w:val="none" w:sz="0" w:space="0" w:color="auto"/>
            <w:left w:val="none" w:sz="0" w:space="0" w:color="auto"/>
            <w:bottom w:val="none" w:sz="0" w:space="0" w:color="auto"/>
            <w:right w:val="none" w:sz="0" w:space="0" w:color="auto"/>
          </w:divBdr>
        </w:div>
      </w:divsChild>
    </w:div>
    <w:div w:id="1899852019">
      <w:bodyDiv w:val="1"/>
      <w:marLeft w:val="0"/>
      <w:marRight w:val="0"/>
      <w:marTop w:val="0"/>
      <w:marBottom w:val="0"/>
      <w:divBdr>
        <w:top w:val="none" w:sz="0" w:space="0" w:color="auto"/>
        <w:left w:val="none" w:sz="0" w:space="0" w:color="auto"/>
        <w:bottom w:val="none" w:sz="0" w:space="0" w:color="auto"/>
        <w:right w:val="none" w:sz="0" w:space="0" w:color="auto"/>
      </w:divBdr>
      <w:divsChild>
        <w:div w:id="636836625">
          <w:marLeft w:val="547"/>
          <w:marRight w:val="0"/>
          <w:marTop w:val="0"/>
          <w:marBottom w:val="0"/>
          <w:divBdr>
            <w:top w:val="none" w:sz="0" w:space="0" w:color="auto"/>
            <w:left w:val="none" w:sz="0" w:space="0" w:color="auto"/>
            <w:bottom w:val="none" w:sz="0" w:space="0" w:color="auto"/>
            <w:right w:val="none" w:sz="0" w:space="0" w:color="auto"/>
          </w:divBdr>
        </w:div>
        <w:div w:id="1192182708">
          <w:marLeft w:val="547"/>
          <w:marRight w:val="0"/>
          <w:marTop w:val="0"/>
          <w:marBottom w:val="0"/>
          <w:divBdr>
            <w:top w:val="none" w:sz="0" w:space="0" w:color="auto"/>
            <w:left w:val="none" w:sz="0" w:space="0" w:color="auto"/>
            <w:bottom w:val="none" w:sz="0" w:space="0" w:color="auto"/>
            <w:right w:val="none" w:sz="0" w:space="0" w:color="auto"/>
          </w:divBdr>
        </w:div>
        <w:div w:id="1603145949">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Lester</dc:creator>
  <cp:lastModifiedBy>Aidan Camas</cp:lastModifiedBy>
  <cp:revision>2</cp:revision>
  <cp:lastPrinted>2016-08-30T14:51:00Z</cp:lastPrinted>
  <dcterms:created xsi:type="dcterms:W3CDTF">2016-09-02T13:14:00Z</dcterms:created>
  <dcterms:modified xsi:type="dcterms:W3CDTF">2016-09-02T13:14:00Z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112206093 v2</vt:lpwstr>
  </property>
</Properties>
</file>